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361274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O_LGL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Lingua Galega e Literatura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 Galega e Literatura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ntase, en todos os cursos das etapas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de bacharelato, estruturada en cinco bloques, o que non debe implicar que a actividade docente se corresponda con esta ordenaci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pola contra, se deben producir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todos eles.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1,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oral. Escoitar e falar" atende ao uso oral da lingua, e este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obxecto de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para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as normas que rexen o intercambio comunicativo, para observar as estratexias que usan os/as falantes para se comunicar satisfactoriamente,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que empregan para comprender ou para producir mensaxes orais. Non obstante, este bloque incide, sobre todo, na necesidade de que o alumnado galego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modelos de fala adecuados e poida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lingua dentro da aula en contextos formais e informais. A realidade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 cada centro docente determinar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o profesorado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dedicar na aula a este bloque, para que o alumnado poida cumprir adecuadamente cos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descritos.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2,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escrita. Ler e escribir" 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pase da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escrita. O alumnado debe ser quen de entender textos de diferente complexidade 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nero, e extraer as ideas expl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citas e impl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citas no texto co fin de elaborar o seu propio pensamento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creativo. Comprender un texto implica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marcha unha serie de estratexias de lectura que deben practicarse na aula e proxectarse a todas as esferas da vida e a calquera tipo de lectura: ler para obter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aprender a propia lingua e por pracer. Igualmente,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significar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procurar para cada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 tipo de texto, adecuando, planificando e redactando, atendendo a aspectos diversos, e revisando a escrita final.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3, "Funcionamento da lingua" integra contidos relacionados co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digo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e responde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a propia lingua, coa finalidade de servir de base para o seu uso correcto, afast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ndose da pretensi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utilizar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como fin en si mesmo.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4, "Lingua e sociedade"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ntrase na necesidade de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eza, explique e valore o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unha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habitual e enriquecedora para todos os individuos. Do mesmo xeito, inc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dese na identificaci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superaci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 e na pertinencia de que o alumnado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eza e empregue termos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precisos.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5,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literaria" asume o obxectivo de facer dos alumnos e as alumnas lectores e lectoras competentes, con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nun proceso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que contin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ao longo de toda a vida. Ademais, o alumnado achegarase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historia da literatura galega,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como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obras e aos seus autores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autoras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salientables,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vinculaci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destes produtos literarios coa historia de Galicia.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O tratamento de todos estes contidos ten que abordarse desde unha 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ptica competencial, valorando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cada un ten coas competencias clave, que aparecen especificadas, a partir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avaliables, neste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ser coherente coa diversidade de contidos traballados e, daquela, ter en conta os contidos abordados nos cinco bloques en que se estrutura este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 Do mesmo xeito,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ser unha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competencial,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en conta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se establece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entre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ndares de aprendizaxe detallados en cada bloque, coas competencias clave. 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066"/>
        <w:gridCol w:w="1232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9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Lingua Galega e Literatura. ESO.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 xml:space="preserve">Curso 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9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 Escoitar e falar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ñ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resumo de novas de actualidade 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nicas, reportaxes e documentais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Comprender e interpretar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comunicativa, o tema, as ideas principais e os datos relevantes de diferentes textos orais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nicas, reportaxes e documentais) e elaborar esquemas e resumos.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LGB1.1.1. Comprende o sentido global e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 textos orais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informativo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 (reportaxes,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 documentais).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LGB1.1.2. Traslada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de discursos orais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 a esquemas ou resumos.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orais utilizados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social e educativo.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Extraer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comunicativa, o tema, as ideas principais e os datos relevantes de diferentes textos orais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social e educativo.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LGB1.2.1.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xunto ao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sito e a idea xeral, os feitos e datos relevantes en textos orais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social e educativo.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LGB1.2.2. Comprende e segue as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realizar tarefas de aprendizaxe con progresiva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B1.3. Desenvolvemento de habilidades de escoita cunha actitude de interese,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ante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sobre todo en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profesorado ou do alumnado.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 da actividade educativa, tanto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como planificadas.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LGB1.3.1.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aprecia e usa as normas que rexen a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(interv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na quenda que lle corresponde,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rexeita a linguaxe discriminatoria).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LGB1.3.2.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(entoaci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pausas, ton, timbre e volume) e o significado dos trazos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 linguaxe non verbal.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CSIE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B1.4. Escoita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reflexiva ante as mensaxes discriminatorias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programas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informativo: noticias reportaxes e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B1.4. Identificar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comunicativo en textos orais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analizar criticamente os seus contidos e interpretar as connotaci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mensaxes discriminatorias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LGB1.4.1. Diferencia as ideas principais e as secundarias e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 programas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informativo: noticias, reportaxes e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LGB1.4.2. Compara o tratamento da mesma noticia en diferentes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partir das coincidencias e diferenzas atopadas.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LGB1.4.3. Reflexiona sobre as mensaxes e rexeita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levan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o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emitidas cunha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prosodia correcta e cunha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que se poidan asociar a ela.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B1.5. Valorar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emitidas cunha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prosodia correcta e amosar unha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que se poidan asociar a ela.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LGB1.5.1. Aprecia a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pronuncia e prosodia correcta,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erros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melloralas.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LGB1.5.2. Comprende, interpreta e rexeita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que se poidan asociar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pronuncia galega.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LGB1.5.3. Asume, se a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e, a variante dialectal propia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habitual.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B1.6.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orais,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neas,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desexada, con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B1.6. Producir textos orais,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neas,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desexada, con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LGB1.6.1. Produce textos orais, en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neas,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desexada, con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LGB1.6.2. Participa con fluidez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respectando as regras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desta lingua, en especial a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pronome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galega (pronuncia das sete vogais, n velar e fonema fricativo palatal xordo).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LGB1.6.3. Emprega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do galego (fraseolox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adecuada).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LGB1.6.4. Emprega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rico e variado.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B1.7.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axuda das TIC,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sobre temas de actualidade.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B1.7.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aplicar, con axuda das TIC,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realizar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planificadas.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LGB1.7.1. Consulta os medios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dixitais para seleccionar contidos relevantes e incorporalos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LGB1.7.2. Emprega as TIC para facer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claras e atractivas visualmente.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h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B1.8.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e de interese para o alumnado que xeren intercambio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B1.8. Participar activamente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propias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e de interese para o alumnado que xeren intercambio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LGB1.8.1. Interv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 en debates e coloquios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educativo con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regras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alleas.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LGB1.8.2.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nguese ao tema, non divaga e atende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persoa moderadora nos debates e coloquios.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LGB1.8.3. Expresa e compara con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eiras/os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unha obra de lectura.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B1.9.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necesarias para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discurso nas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 formais e informais.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B1.9. Aplicar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ou informais, de forma individual ou en grupo.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LGB1.9.1. Elabora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organizar os contidos de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ou informais breves.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LGB1.9.2. Fai uso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da linguaxe non verbal (a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posta en escena, os xestos e a mirada), manifesta autocontrol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e dir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xese ao auditorio con autoconfianza e seguridade.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LGB1.9.3. Incorpora progresivamente palabras propias do nivel formal nas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cticas orais da lingua. 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CLL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LGB1.9.4. Adec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pronuncia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finalidade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oral.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CLL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LGB1.9.5.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erros (repetici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conectores, pobreza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 e castelanismos) nos discursos orais propios e alleos e trata, progresivamente, de evitalos.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B1.10.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adecuados a distintos rexistros, coherentes e ben organizados sobre temas de interese persoal ou social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educativo.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B1.10. Producir discursos breves e comprensibles, nun rexistro neutro, informal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culto, sobre temas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ou educativa.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LGB1.10.1. Participa en conversas informais nos que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fai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ofrecementos e pide 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LGB1.10.2.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correctamente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 implique solicitar unha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un servizo.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LGB1.10.3. Utiliza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tratamento e as regras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axeitadas ao destinatario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LGB1.10.4. Analiza similitudes e diferenzas entre discursos formais e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9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escrita. Ler e escribir 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 contido e de estratexias de lectura comprensiva: esquemas, resumos,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B2.1.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 lingua e as normas do uso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para resolver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LGB2.1.1. Analiza e sintetiza o contido dun texto en resumos e esquemas que estruturan visualmente as</w:t>
            </w:r>
            <w:r>
              <w:rPr>
                <w:rStyle w:val="Ninguno"/>
                <w:strike w:val="0"/>
                <w:dstrike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ideas.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LGB2.1.2. Busca o significado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 a partir do contexto, analiza a forma das palabras ou usa dicionarios para contextualizar as acepci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LGB2.1.3. Identifica a idea principal e as secundarias e comprende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existente entre elas.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LGB2.1.4. Relaciona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dun escrito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LGB2.1.5. Compila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comprender e ampliar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mensaxes: busca bibliograf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a; consulta libros, revistas, xornais; utiliza recursos audiovisuais e buscadores de internet.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LGB2.1.6. Contrasta os contidos dos textos analizados cos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propios, antes e despois da lectura.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sociais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ximos aos intereses do alumnado: diarios, cartas persoais, avisos e solicitudes.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B2.2. Comprender e interpretar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diarios, cartas persoais, avisos e solicitudes.</w:t>
            </w:r>
            <w:r/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LGB2.2.1. Comprende e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 de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diarios, cartas persoais, avisos e solicitudes.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LGB2.2.2. Comprende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 de certa complexidade que lle permiten desenvolverse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. 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LGB2.2.3. Comprende e interpreta normas de convivencia, regras de xogos, correspondencia escolar.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formato papel e dixital, de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(noticias).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B2.3. Comprender e interpretar, en formato papel ou dixital,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(noticias).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LGB2.3.1. Comprende e interpreta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(noticias).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LGB2.3.2. Localiza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destacada de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portadas e titulares.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B2.4.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formato papel ou dixital, de textos propios da vida educativa, especialmente, os instrutivos e expositivos: webs educativas, dicionarios, glosarios e enciclopedias.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B2.4. Comprender e interpretar en formato papel ou dixital, textos propios da vida educativa, especialmente, os instrutivos e expositivos: webs educativas, dicionarios, glosarios e enciclopedias.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LGB2.4.1. Comprende e interpreta textos propios da vida educativa, especialmente, os instrutivos e expositivos: webs educativas, dicionarios, glosarios e enciclopedias.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LGB2.4.2.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de todo tipo de textos nos que se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feitos e se expliquen ideas e conceptos das distintas materias curriculares.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B2.5. Uso,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das bibliotecas e das TIC para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B2.5. Seleccionar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nas bibliotecas, nas TIC e outras fontes e integrar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non proceso de aprendizaxe continua.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LGB2.5.1. Utiliza, de forma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noma, diversas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integra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nos seus discursos orais e escritos.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LGB2.5.2.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habitualmente dicionarios impresos ou en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dixital.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LGB2.5.3.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funcionamento das bibliotecas,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as bibliotecas dixitais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quen de solicitar libros 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deos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B2.6. Actitude reflexiva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 lectura para identificar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discriminatorios, manifestar posturas de acordo e desacordo e expor razoadamente as ideas respectando as ideas dos demais.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B2.6. Amosar unha actitude reflexiva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 lectura que permita identificar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discriminatorios e manifestar posturas de acordo ou desacordo e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mensaxes expresadas.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LGB2.6.1. Detecta mensaxes que transmiten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evita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discriminatorios.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LGB2.6.2. Identifica e expresa posturas de acordo e desacordo sobre aspectos parciais ou globais dun texto.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LGB2.6.3. Elabora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 significado dun texto.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LGB2.6.4.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demais.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B2.7. Lectura en voz alta con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ritmo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posibilidade de usar recursos audiovisuais para o rexistro de voz.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B2.7. Ler en voz alta co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ritmo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LGB2.7.1. Le en voz alta con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ritmo adecuados (interpreta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n)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LGB2.7.2. Usa recursos audiovisuais para rexistrar a voz.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B2.8.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escrito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(tema, fins e destinatarios) para elaborar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internas e externas dos contidos do texto.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B2.8. Usar procedementos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conseguir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contidos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internas e externas do texto.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LGB2.8.1. Elabora esquemas sinxelos para ordenar as ideas e estruturar o texto.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LGB2.8.2. Adec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rexistro formal e educativo.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LGB2.8.3. Utiliza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discursivos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interna do texto (a de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xe, as referencias internas de tipo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xico e os conectores). 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LGB2.8.4. Usa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oracional e coa forma do texto (os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e 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ordenaci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ideas expresadas)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LGB2.8.5. Revisa e reescribe o texto con respecto polas regras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LGB2.8.6. Usa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tratamento textual coas TIC: procesadores de texto, programas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dicionarios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 e correctores.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LGB2.8.7. Complementa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elementos textuais e paratextuais: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B2.9.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formato papel ou dixital, de escritos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diarios, cartas persoais, avisos, solicitudes e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foros.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B2.9. Producir, en formato papel ou dixital,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diarios, cartas persoais, avisos, solicitudes e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foros.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LGB2.9.1. Produce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persoais: diarios, cartas persoais, avisos, solicitudes e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foros.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B2.10.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formato papel ou dixital, de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(noticias).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B2.10. Producir, en soporte impreso ou dixital,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dun modelo (noticias).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LGB2.10.1. Produce, en soporte impreso ou dixital,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dun modelo (noticias).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B2.11.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formato papel ou dixital, de textos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educativo: cuestionarios, resumos, informes de tarefas,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contidos das materias curriculares.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B2.11. Producir, en formato papel ou dixital, textos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educativo: cuestionarios, resumos, informes de tarefas,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contidos das materias curriculares.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LGB2.11.1. Produce, en formato papel ou dixital, textos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educativo: cuestionarios, resumos, informes de tarefas,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contidos das materias curriculares.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B2.12.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ntese, en formato papel ou dixital, de textos de distinta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fundamentalmente, narrativos e descritivos.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B2.12. Producir e sintetizar, en formato papel ou dixital, textos de distinta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fundamentalmente,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LGB2.12.1. Produce, en formato papel ou dixital, escritos de distinta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partir dun modelo, fundamentalmente, narrativos e descritivos.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LGB2.12.2. Sintetiza e resume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sen parafrasear o texto resumido.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B2.13. Uso das TIC (procesadores de texto e correctores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ficos) tanto para a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como para 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mellora do escrito.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B2.13. Usar as TIC para textualizar, revisar e mellorar os escritos: procesadores de texto, programas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dicionarios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nicos. 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LGB2.13.1. Usa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tratamento textual coas TIC: procesadores de texto, programas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dicionarios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e correctores para textualizar e revisar e mellorar os escritos.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B2.14.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escritura como fonte de aprendizaxe e como forma de comunicar experiencias, ideas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propios.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B2.14. Valorar a escritura como fonte de aprendizaxe e como unha forma de comunicar experiencias, ideas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propios.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LGB.2.14.1. Describe os valores da escritura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fundamental para comunicar experiencias e para adquirir e transmitir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9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Funcionamento da lingua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suficientemente amplo e preciso, con incorporaci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 vocabulario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a partir de campos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traballados na aula.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explicar e usar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amplo e preciso coa presenza da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vocabulario traballado na aula.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 xml:space="preserve">LGB3.1.1. Utiliza un vocabulario amplo e preciso para expresarse con claridade nun rexistro axeitado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CCC.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B3.2.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fonolox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galego,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posibles interferencias.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da lingua galega.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LGB3.2.1.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pronuncia correctamente os fonemas propios da lingua galega.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B3.3. Uso eficaz dos dicionarios e doutras fontes de consulta en calquera soporte, especialmente sobre 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 e normativa.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B3.3. Usar eficazmente os dicionarios ou calquera outra fonte de consulta, en papel ou en soporte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para resolver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e para progresar na aprendizaxe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LGB3.3.1.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n,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todo tipo en dicionarios, en diferentes soportes, e noutras obras de consulta.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B3.4.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uso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que regulan os textos orais e escritos, propios e alleos.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B3.4.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usar e valorar as normas que regulan os textos orais e escritos.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rtl w:val="0"/>
              </w:rPr>
              <w:t xml:space="preserve">LGB3.4.1. Completa, transforma e valora textos orais ou escritos de maneira adecuada e correcta atendendo </w:t>
            </w:r>
            <w:r>
              <w:rPr>
                <w:rStyle w:val="Ninguno"/>
                <w:sz w:val="18"/>
                <w:szCs w:val="18"/>
                <w:rtl w:val="0"/>
              </w:rPr>
              <w:t>á</w:t>
            </w:r>
            <w:r>
              <w:rPr>
                <w:rStyle w:val="Ninguno"/>
                <w:sz w:val="18"/>
                <w:szCs w:val="18"/>
                <w:rtl w:val="0"/>
              </w:rPr>
              <w:t>s normas.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B3.5.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xicas da lingua galega.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B3.5. Aplicar e valorar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 lingua galega.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LGB3.5.1. Aplica correctamente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 lingua galega.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LGB3.5.2. Aplica estratexias para a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stica, gramatical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dos textos.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B3.6.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uso reflexivo da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B3.6. Analizar e usar correctamente 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acordo coa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LGB3.6.1. Analiza e usa correctamente 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B3.7.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estrutura de substantivos e verbos 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caracterizaci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para a mellora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B3.7.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estrutura de substantivos e verbos 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caracterizaci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textuais.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LGB3.7.1.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adecuadamente substantivos e formas verbais na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escritos.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LGB3.7.2.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sase, con estilo propio, utilizando os recursos da lingua con flexibilidade e creatividade. 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B3.8.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nexos e conectores textuais (espaciais, de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contraste) e dos principais mecanismos de referencia interna, tanto gramaticais como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B3.8.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os nexos textuais de espazo,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contraste,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mecanismos gramaticais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interna.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LGB3.8.1. Identifica e usa distintos tipos de conectores de espazo,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contraste,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mecanismos gramaticais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de referencia interna que lle proporcionan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un texto.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LG3.8.2. Utiliza os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para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interna.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B3.9.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no nivel da frase para elaborar enunciados, orais e escritos, cun estilo cohesionado e correcto.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B3.9.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para elaborar enunciados, orais e escritos, cun estilo cohesionado e correcto.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LG3.9.1. Completa, transforma e elabora enunciados de maneira axeitada e correcta atendendo aos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cticos. 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B3.10.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estratexias necesarias de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aceptando o erro como parte do proceso.</w:t>
            </w:r>
            <w:r>
              <w:rPr>
                <w:rStyle w:val="Ningun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B3.10. Aplicar progresivamente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o uso das estratexias de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erro como parte do proceso de aprendizaxe.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LG3.10.1.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erros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 propias e alleas a partir da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propondo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mellora.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B3.11.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 relacionados cos elementos transversais 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nos que se eviten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B3.11.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 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nos que se eviten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LGB3.11.1.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</w:t>
            </w:r>
            <w:r>
              <w:rPr>
                <w:rStyle w:val="Ninguno"/>
                <w:b w:val="1"/>
                <w:bCs w:val="1"/>
                <w:rtl w:val="0"/>
              </w:rPr>
              <w:t xml:space="preserve">, </w:t>
            </w:r>
            <w:r>
              <w:rPr>
                <w:rStyle w:val="Ninguno"/>
                <w:rtl w:val="0"/>
              </w:rPr>
              <w:t>evita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  <w:rPr>
                <w:shd w:val="clear" w:color="auto" w:fill="ffffff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5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e</w:t>
            </w:r>
            <w:r/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B3.12.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progresiva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linguas para desenvolver unha competencia comunicativa integrada.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B3.12. Reflexionar sobre o sistema e as normas de uso das linguas, mediante 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enunciados e palabras, e utilizar estes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para solucionar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LGB3.12.1. Utiliza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contextual, textual, oracional e da palabra, desenvolvidos no curso nunha das linguas,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en calquera das outras.</w:t>
            </w: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9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Lingua e sociedade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B4.1.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linguas como medios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pobo.</w:t>
            </w:r>
          </w:p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B4.2.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riqueza cultural da humanidade.</w:t>
            </w:r>
          </w:p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B4.3. A lusofon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B4.1. Valorar as linguas como medios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pobo. Apreciar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riqueza cultural da humanidade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lusofon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e achegarse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culturas que a integran.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LGB4.1.1. Valora a lingua como instrumento co cal se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todos os saberes e como medio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de noso en diferentes contextos. 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LGB4.1.2. Distingue entre linguas maioritarias, minoritarias e minorizadas e aplica estes conceptos ao caso galego.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LGB4.1.3.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linguas que se falan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existencia como un elemento de riqueza cultural.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LGB4.1.4.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linguas que se falan na actualidade en Galicia por mor da emigraci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LGB4.1.5. Valora a importancia da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Galicia coa comunidade lus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fona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os territorios que a integran. 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LGB4.1.6.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recursos en rede de lecer (literatura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sica e xogos) e educativos en lingua galega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raos con outros similares da lusofon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B4.4.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do galego.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B4.2. Describir e analizar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 de Galicia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presenza da lingua galega no contorno.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LGB4.2.1. Describe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Galicia a partir do estudo do seu contorno (concello e comarca),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raa coa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doutros contextos e analiza as diferenzas.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LGB4.2.2.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valora os top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galegos.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B4.5. Proceso de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Desenvolvemento de actitudes positivas cara ao proceso de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galego, favorecemento do xurdimento de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nculos positivos cara ao seu uso e consciencia da necesidade e das potencialidades de enriquecemento persoal e colectivo do uso normalizado da lingua galega.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B4.3.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as principais iniciativas normalizadoras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adquirir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nculos positivos cara ao uso do galego e asumir a importancia da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no desenvolvemento da lingua galega.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LGB4.3.1.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as principais iniciativas normalizadoras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LGB4.3.2. Analiza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valora a importancia de contribu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 individual e socialmente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o.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B4.6.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legal das linguas do Estado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B4.4. Describir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legal das linguas do Estado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LGB4.4.1.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lexislaci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regula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galego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e local.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B4.7.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B4.5. Identificar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analizar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eles.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LGB4.5.1.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zo. Detecta e analiza a presenza de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socioecon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cara ao galego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na do seu contorno.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B4.8.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variantes diaf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lingua galega e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ndar, uso normalizado da variante dialectal propia da zona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variante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formal.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B4.6. Identificar e clasificar as variantes diaf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do galego,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trazos da variedade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 galega e valorala como variante unificadora,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apreciar a variante diat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pica propia.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LGB4.6.1. Identifica e clasifica as variantes diaf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do galego.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LGB4.6.2. Analiza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identifica nela os trazos propios da xerga estudantil.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LGB4.6.3.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trazos da variedade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 galega e val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raa como variante unificadora.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LGB4.6.4. Rexeita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sobre as variedades dialectais e utiliza os trazos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zona.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9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B5.1. Lectura, con regularidade, de obras literarias e desenvolvemento dun criterio lector;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persoal sobre a lectura dunha obra axeitada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seu sentido coa propia experiencia e outros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uso dos elementos propios de cada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literario, o punto de vista empregado e o uso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da linguaxe.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B5.1. Ler con regularidade obras literarias e desenvolver criterio lector; expor 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persoal sobre a lectura dunha obra axeitada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idade, relacionar o seu sentido coa propia experiencia e outros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e valorar o uso dos elementos propios de cada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literario, o punto de vista empregado e o uso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da linguaxe.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LGLB5.1.1. Le con regularidade obras literarias e desenvolve criterio lector;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persoal sobre a lectura dunha obra axeitada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relaciona o seu sentido coa propia experiencia e outros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LGLB5.1.2. Describe o uso dos elementos propios de cada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literario, o punto de vista empregado e o uso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da linguaxe nos textos literarios.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B5.2. Lectura expresiva e comprensiva e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poemas recitados ou cantados; 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tema principal, a estrutura xeral e os principais recursos estil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B5.2. Ler expresiva e comprensivamente e facer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poemas recitados ou cantados, determinar o tema principal, a estrutura xeral e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 de relevo os principais recursos estil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LGLB5.2.1. Le expresiva e comprensivamente e fai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poemas recitados ou cantados, determina o tema principal, a estrutura xeral e pon de relevo os principais recursos estil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>B5.3. Lectura expresiva e comprensiva de textos narrativos breves e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elementos estruturais e formais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salientables: punto de vista, tempo, espazo e personaxes principais.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B5.3. Ler expresiva e comprensivamente textos narrativos breves, localizando e describindo os elementos estruturais e formais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salientables: punto de vista, tempo, espazo e personaxes principais.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6"/>
              </w:numPr>
            </w:pPr>
            <w:r>
              <w:rPr>
                <w:rStyle w:val="Ninguno"/>
                <w:rtl w:val="0"/>
              </w:rPr>
              <w:t>LGLB5.3.1. Le expresiva e comprensivamente textos narrativos breves, localiza e describe os elementos estruturais e formais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salientables: punto de vista, tempo, espazo e personaxes principais.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B5.4. Lectura dramatizada e comprensiva, visionado de pezas teatrais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 procedementos que caracterizan os subx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B5.4. Ler dramatizada e comprensivamente, visionar pezas teatrais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 procedementos que caracterizan os subx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neros. 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LGLB5.4.1. Le dramatizada e comprensivamente, visiona pezas teatrais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 procedementos que caracterizan os subx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B5.5.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pertencentes a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e subx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sinalando as coincidencias e diferenzas, tanto estruturais coma formais.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 xml:space="preserve"> B5.5. Comparar textos pertencentes a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e subx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sinalando as coincidencias e diferenzas, tanto estruturais coma formais.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LGLB5.5.1. Compara textos pertencentes aos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sinalando as coincidencias e diferenzas, tanto estruturais coma formais.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LGLB5.5.2. Compara textos pertencentes ao mesmo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pero a diferentes subx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neros, sinalando as coincidencias e diferenzas, tanto estruturais coma formais.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1"/>
              </w:numPr>
            </w:pPr>
            <w:r>
              <w:rPr>
                <w:rStyle w:val="Ninguno"/>
                <w:rtl w:val="0"/>
              </w:rPr>
              <w:t>B5.6.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textos literarios, de maneira guiada,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trazos dos subx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e a funcionalidade dos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B5.6. Analizar textos literarios, de maneira guiada, identificar os trazos dos subx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e a funcionalidade dos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3"/>
              </w:numPr>
            </w:pPr>
            <w:r>
              <w:rPr>
                <w:rStyle w:val="Ninguno"/>
                <w:rtl w:val="0"/>
              </w:rPr>
              <w:t>LGB.5.6.1. Analiza textos literarios, de maneira guiada, identifica os trazos dos subx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e a funcionalidade dos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B5.7.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serv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ndose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literarios adquiridos e dos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traballados na aula.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7"/>
              </w:numPr>
            </w:pPr>
            <w:r>
              <w:rPr>
                <w:rStyle w:val="Ninguno"/>
                <w:rtl w:val="0"/>
              </w:rPr>
              <w:t>B5.7. Escribir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serv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ndose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literarios adquiridos e dos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traballados na aula.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LGLB5.7.1. Escribe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serv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ndose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literarios adquiridos e dos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traballados na aula.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>B5.8.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caracterizaci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trazos definitorios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B5.8. Describir e caracterizar os trazos definitorios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LGLB5.8.1. Describe e caracteriza os trazos definitorios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5"/>
              </w:numPr>
            </w:pPr>
            <w:r>
              <w:rPr>
                <w:rStyle w:val="Ninguno"/>
                <w:rtl w:val="0"/>
              </w:rPr>
              <w:t>LGB5.8.2. Identifica e describe os principais trazos da linguaxe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nunha ou varias secuencias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lmicas.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B5.9. Aproveitamento, baixo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dos fondos e recursos que ofrecen as bibliotecas,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as virtuais,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cita axeitada destes.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B5.9. Servirse, seguindo unhas pautas orientadoras, dos fondos e recursos que ofrecen as bibliotecas,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as virtuais,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cita axeitada destes.</w:t>
            </w:r>
          </w:p>
        </w:tc>
        <w:tc>
          <w:tcPr>
            <w:tcW w:type="dxa" w:w="40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LGLB5.9.1.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rvese, seguindo unhas pautas orientadoras, dos fondos e recursos que ofrecen as bibliotecas,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as virtuais,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cita axeitada destes.</w:t>
            </w:r>
          </w:p>
        </w:tc>
        <w:tc>
          <w:tcPr>
            <w:tcW w:type="dxa" w:w="1231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