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DAR_1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Debuxo Art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stico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Partindo das destrezas e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 polo alumnado na materia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stica, Visual e Audiovisual, da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(ESO), en bacharelato afondarase nas destrezas e no conceptos do debuxo como ferramenta do pensamento que participa no proceso creativo, comunicativo,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stico e visual,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a adquirir as competencias necesarias para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permanente da persoa.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materias Debuxo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I e II achegan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ricos,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 e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ticos, fomentando un pensamento diverxente. A aprendizaxe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debe realizarse sobre bases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ricas 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cticas, fomentando a creatividade,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permanente.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 xeito gradual e secuencial,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as destrezas adquiridos en Debuxo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I deben ser a base sobre a que se asente Debuxo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II. Ensinarase e aplicarase o principio de partir do particular para o xeral, para que o alumnado vaia adquirindo as habilidades e os conceptos para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aprendizaxes significativas, mediante 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de proxectos globais.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Debuxo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I, o alumnado traballa a materia de forma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obxectiva, para dedicar o segundo curso a aspectos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subxectivos, desenvolvendo o seu potencial creador orientado cara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alternativas formativas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acordes cos seus intereses.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Ao traballar de xeito creativo, o alumnado desenvolve a capacidade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aplic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ndoa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propias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dos seus compa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eiros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compa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eiras; valora o feito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e goza del, sensibiliz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ndose cara ao contorno para a satisfacci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e como aspecto motivador para o seu desenvolvemento creativo, potenciando a competencia de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cultural; debe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os antecedentes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sticos e as achegas de artistas ao debuxo,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artes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sticas e ao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en xeral,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historia, e sobre todo a presenza e a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debuxo nas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contempor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neas.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positiva do debuxo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como linguaxe expresiva e comunicativa reforzar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nunha sociedade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e inmediata.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Debuxo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nesta etapa debe proporcionar un panorama amplo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orientando e preparando para outras ensinanzas posteriores que o alumnado poida cursar, sexan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ou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xicas, como base para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profesionais creativos/as: ensinanzas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 superiores, ensinanzas profesionais de artes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sticas 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belas artes e outras 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ns; en definitiva, ensinanzas creativas nas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facetas (interiores, moda, produto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fico, multimedia, xoiar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ilustraci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web, multimedia, etc.).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Debuxo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I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en cinco bloques de contido: "O debuxo como ferramenta", "Li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e forma", "A composici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os seus fundamentos", "A luz: o claroscuro e a textura"  e "A cor".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Debuxo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II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noutros cinco bloques de contido: "A forma: estudo e transformaci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n", "A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subxectividade", "Debuxo e perspectiva", "O corpo humano como modelo" e "O debuxo no proceso creativo".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Debuxo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I.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ndares de aprendizaxe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1. O debuxo como ferramenta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Diferentes modos de ver e debuxar. Debuxo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Valorar a importancia do debuxo como ferramenta do pensamento e fin en si mesmo,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historia da arte, no proceso creativo, con fins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ou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DA1.B1.1.1. Valora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importancia do debuxo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historia e na actualidade, co estudo e 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obras e artistas significativos/as.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DA1.B1.1.2. Selecciona, relaciona e emprega con criterio 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fica, de forma oral e escrita, en postas en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ou probas individuais, aplicada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ou alleas.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B1.2.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subxectividade.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Utilizar con criterio os materiais e 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especifica.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DA1.B1.2.1. Utiliza con propiedade os materiais e os procedementos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neos para representar e expresarse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linguaxes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adecu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ao obxectivo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stico desexado.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B1.3. Materiais, utensilios e soportes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B1.4. Introduci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cnicas secas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B1.3. Amosar unha actitude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e responsable, respectando 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e alleas,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espazo de traballo e as pautas indicadas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actividades, achegando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aula todos os materiais necesarios.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DA1.B1.3.1. Mant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o seu espazo de traballo e o seu material en perfecto estado, e ach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gao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aula cando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necesario para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actividades.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DA1.B1.3.2. Amosa unha actitude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e responsable, respectando o traballo propio e alleo.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2.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forma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d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B2.1.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na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forma. A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como elemento configurador.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B2.1. Describir graficamente obxectos naturais ou artificiais, amosando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interna.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DA1.B2.1.1. Utiliza a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na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de obxectos expresando volume, movemento, espazo e sensaci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subxectivas.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DA1.B2.1.2. Representa formas naturais e artificiais, de maneira anal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tica ou expresiva,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interna.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B2.2. A perspectiva intuitiva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debuxo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B2.2. Empregar a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para a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formas e transmisi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expresividade.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DA1.B2.2.1. Comprende e representa as formas desde distintos puntos de vista.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 xml:space="preserve">DA1.B2.2.2. Describe graficamente as formas atendendo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relacion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con formas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simples.</w:t>
            </w: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3.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os seus fundamentos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B3.1.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intuitiva. Concepto de equilibrio visual.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B3.1. Elaborar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ticas, descritivas e expresivas con diferentes graos de iconicidade.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DA1.B3.1.1. Selecciona os elementos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esenciais para 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realidade observada segundo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se persiga (anal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ou subxectiva) e o seu grao de iconicidade.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B3.2. Psicolox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forma. Leis visuais que rexen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as formas do cadro.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B3.2. Aplicar as leis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visual ao representar distintos volumes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ou org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nicas dentro dun espazo compositivo, atendendo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perspectiva.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 xml:space="preserve">DA1.B3.2.1. Relaciona e representa as formas no plano atendendo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 leis visuais asociativas,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compositivas, ao equilibrio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visuais en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cunha finalidade expresiva, anal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ou descritiva.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4. A luz. O claroscuro e a textura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B4.1. A mancha como elemento configurador do volume. O claroscuro.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B4.1. Representar o volume de obxectos e espazos tridimensionais mediante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do claroscuro.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DA1.B4.1.1. Representa o volume, o espazo e a textura aplicando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mediante valores lum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B4.2. 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sombras. Valores tonais.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B4.2. Valorar a influencia da luz como configuradora de formas e o seu valor expresivo.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DA1.B4.2.1.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valor expresivo e configurador da luz, en valores tanto acrom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como crom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e explicar verbalmente eses valores en obras propias e alleas.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B4.3. Iluminaci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Tipos de luz e o seu comportamento.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B4.3. Explorar as posibilidades expresivas da textura visual e o claroscuro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DA1.B4.3.1. Observa e utiliza a textura visual con procedementos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sticos, con fins expresivos e configuradores, en obras propias e alleas.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5. A cor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B5.1.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cor. Natureza.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comportamento da cor.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B5.2. Expresividade da cor.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 os fundamentos te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sobre a cor e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tanto na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 como na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diversas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DA1.B5.1.1. Aplica a cor seguindo as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desta (valor-luminosidade, saturaci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n-intensidade e croma-ton) na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formas naturais e artificiais.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DA1.B5.1.2. Demostra 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con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orais, escritas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dos fundamentos te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da cor en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estudos crom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DA1.B5.1.3. Aplica de maneira expresiva a cor na obra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 persoal.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DA1.5.1.4. Analiza o uso da cor observando 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 referencia en todas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DA1.B5.1.5. Representa os matices crom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a partir de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natural, mediante a mestura de cores primarias.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