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N_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Disciplinas troncais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>rea de Ciencias da natureza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ficos int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granse no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para proporcionar ao alumnado as bases dunha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fica e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xica que contrib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a desenvolver as competencias necesarias para comprender a realidade, desenvolverse na vida coti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interactuar co seu medio natural.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competencial integra un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de base conceptual (saber dicir), un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 relativo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destrezas (saber facer) e un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con grande influenza social e cultural e que implica un conxunto de valores e actitudes (saber ser). As competencias clave non se adquiren nun determinado momento e permanecen inalterables,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que implican un proceso de desenvolvemento mediante o cal os individuos van adquirindo maiores niveis de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o no seu uso.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argumento sinalado, que fala dun proceso,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permitir a aproximaci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ao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todo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 e ao uso das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as de maneira secuenciada. Ao ingresar en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primaria, o per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odo evolutivo fala dun pensamento intuitivo, global e concreto: o alumnado non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suxeito a unha previa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ou deduci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xica,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expresividade nace da intuici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ou da percepci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sensorial;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inicia o ensino primario cun conxunto de ideas, representaci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ns,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habilidades, destrezas e disposici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emocionais e afectivas relacionadas co contorno, que estrutura en forma de esquemas xunto a teor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ou hip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teses que lle permiten dar resposta a todo o que sucede ao seu redor.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 A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explicaci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realidade non son habilidades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nomas dunha determinada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rea. Precisan da confluencia de todas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ecemento, favorecendo unha 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interdisciplinaria na que cada equipo docente e cada mestra ou mestre dese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</w:rPr>
        <w:t>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>, implementar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avaliar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tarefas integradas contextualizadas nas que o alumnado se implique nun proceso que o leve acadar un produto que satisfaga as competencias que se sinalan, para cada particularidade.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rea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formulado partindo do desenvolvemento cognitivo e emocional no que se atopa o alumnado desta etapa, da concreci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seu pensamento,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posibilidades cognitivas, do seu interese por aprender e relacionarse cos seus iguais e co contorno e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a andaina cara a un pensamento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abstracto ao final da etapa.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Todos os aspectos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rea de Ciencias da natureza son concibidos como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de aprendizaxe desde os cales se pode facer fincap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na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realidade e no desenvolvemento de actitudes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ticas. Pret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ndese que os alumnos e as alumnas desenvolvan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as habilidades cognitivas de observar, comparar, ordenar, clasificar, inferir, transferir, representar, avaliar...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conceptos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ficos non debe ser 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nico prop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sito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rea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 debe lograr introducir o valor funcional da ciencia para que o alumnado sexa quen de explicar fen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menos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ns proporcion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ndolles as ferramentas para explorar a realidade natural de forma obxectiva, rigorosa e comprobada. Debe fomentar a curiosidade sobre fen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menos novos ou problemas inesperados, a necesidade de respectar o medio ambiente, o esp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rito de iniciativa e tenacidade, a confianza en si mesmo/a, a necesidade de coidar do seu propio corpo, o pensamento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tico que non se contenta cunha actitude pasiva, a flexibilidade intelectual, o rigor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 e permitirlles pensar e desenvolver o seu pensamento de forma independente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respectar a opini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e das demais e iniciarse na argumentaci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no debate de ideas.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contidos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organizados en 5 bloques que, dada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interrelaci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non deben ser traballados de forma illada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integrada. O tratamento dos seus conceptos debe permitir ao alumnado avanzar na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ideas do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 e na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estruturaci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n, de forma coherente e articulada. Por outra banda, os contidos procedementais, relacionados co 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  <w:lang w:val="es-ES_tradnl"/>
        </w:rPr>
        <w:t>saber facer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rico e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ctico, han de permitir ao alumnado iniciarse en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ecer e empregar algunhas das estratexias e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habituais na actividade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fica, tales como a observaci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a identificaci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de problemas, a recollida, 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o tratamento de datos, a emisi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de hip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teses, o dese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o e desenvolvemento da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a busca de 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o emprego de fontes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n, inclu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ndo as proporcionadas polos medios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xicos actuais e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resultados obtidos. Para o desenvolvemento de actitudes e valores, os contidos seleccionados han de promover a curiosidade, o interese, o respecto por si mesmo/a, polos demais, pola natureza e cara ao traballo propio das ciencias experimentais,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unha actitude de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no traballo en grupo.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1:</w:t>
      </w:r>
      <w:r>
        <w:rPr>
          <w:rFonts w:ascii="Arial" w:hAnsi="Arial"/>
          <w:rtl w:val="0"/>
          <w:lang w:val="es-ES_tradnl"/>
        </w:rPr>
        <w:t xml:space="preserve"> Iniciaci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actividade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fica, ori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ntase basicamente aos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necesarios para a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n,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 posterior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resultados de tarefas integradas, proxectos,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ou pequenas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ns. Integra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it-IT"/>
        </w:rPr>
        <w:t>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 conceptuais, procedementais e actitudinais necesarios para o desenvolvemento dos catro bloques restantes tendo, polo tanto,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cter fundamental e transversal para o desenvolvemento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rea.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2:</w:t>
      </w:r>
      <w:r>
        <w:rPr>
          <w:rFonts w:ascii="Arial" w:hAnsi="Arial"/>
          <w:rtl w:val="0"/>
          <w:lang w:val="pt-PT"/>
        </w:rPr>
        <w:t xml:space="preserve"> O ser humano e a sa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de, integra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habilidades e destrezas encami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ados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 propio corpo e das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 deste cos demais seres humanos e co medio,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prevenci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condutas de risco e a desenvolver e fortalecer comportamentos responsables e estilos de vida saudables. Recolle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de si mesmo/a para valorarse como diferente, respectar a diversidade e para facilitar o equilibrio emocional.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3:</w:t>
      </w:r>
      <w:r>
        <w:rPr>
          <w:rFonts w:ascii="Arial" w:hAnsi="Arial"/>
          <w:rtl w:val="0"/>
          <w:lang w:val="pt-PT"/>
        </w:rPr>
        <w:t xml:space="preserve"> Os seres vivos, ori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ntase fundamentalmente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ecemento, respecto e aprecio das plantas e dos animais,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iniciaci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aos outros reinos e ao interese por conservar a biodiversidade.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4:</w:t>
      </w:r>
      <w:r>
        <w:rPr>
          <w:rFonts w:ascii="Arial" w:hAnsi="Arial"/>
          <w:rtl w:val="0"/>
          <w:lang w:val="pt-PT"/>
        </w:rPr>
        <w:t xml:space="preserve"> Materia e enerx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contidos relacionados coas propiedades dos materiais e as diferentes formas de enerx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as consecuencias medioambientais do seu uso,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a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de fen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menos 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sicos e qu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micos sinxelos.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5:</w:t>
      </w:r>
      <w:r>
        <w:rPr>
          <w:rFonts w:ascii="Arial" w:hAnsi="Arial"/>
          <w:rtl w:val="0"/>
          <w:lang w:val="it-IT"/>
        </w:rPr>
        <w:t xml:space="preserve"> A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a, aparellos e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quinas,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basicamente contidos relacionados coas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quinas e cos aparellos de uso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n, a enerx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que empregan e os avances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ficos e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xicos que infl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en nas condici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 de vida actual.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Por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ltimo, establ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cense as seguintes orientaci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xicas: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Os contidos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Ciencias da natureza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n interrelacionados cos doutras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reas polo que se potenciar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un enfoque globalizador e interdisciplinario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en conta a transversalidade da aprendizaxe baseada en competencias. Resulta imprescindible unha estreita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os docentes no desenvolvemento curricular e na transmisi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sobre a aprendizaxe dos alumnos e das alumnas,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cambios nas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cticas de traballo e nos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todos de ensinanza.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contidos conceptuais, procedementais e actitudinais deben ser traballados na aula arredor da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tarefas integradas que faciliten a contextualizaci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aprendizaxes, proxectos, pequenas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no medio, actividades de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problemas concretos,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debates sobre temas de actualidade (medioambientais, de sa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de, de consumo...), onde o alumnado avance no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o das competencias clave ao longo da etapa, elixindo en cada caso a metodolox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axeitada en funci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necesidades.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As estruturas de aprendizaxe cooperativa posibilitar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conxunta de tarefas, proxectos e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ns, fomentar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bitos de traballo en equipo,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pac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fica de conflitos e potenciar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unha axeitada atenci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diversidade.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Resulta recomendable a aplicaci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diferentes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para 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o do alumnado como, por exemplo, o portfolio, as r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bricas, os mapas mentais, diarios, debates, probas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ficas,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problemas</w:t>
      </w:r>
      <w:r>
        <w:rPr>
          <w:rFonts w:ascii="Arial" w:hAnsi="Arial" w:hint="default"/>
          <w:rtl w:val="0"/>
        </w:rPr>
        <w:t>…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Debe potenciarse a variedade de materiais e recursos, considerando especialmente a integraci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no proceso de ensino-aprendizaxe.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No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establ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cense 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avaliables que permitir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definir os resultados das aprendizaxes e que concretan mediante 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ns o que o alumnado debe saber e saber facer na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Ciencias da natureza. Estes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graduados e secuenciados ao longo da etapa e, una vez finalizada esta,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estar acadados e consolidados.</w:t>
      </w: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CIENCIAS DA NATUREZA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QUINTO</w:t>
            </w:r>
          </w:p>
        </w:tc>
      </w:tr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1 -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ACTIVIDADE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actividade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fica. 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Emprego de diferentes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 xml:space="preserve">B1.3. Lectura de textos propios da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rea. 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B1.4.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buscar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simular procesos e comunicar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sobre os traballos realizados. 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B1.5. Uso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do tratamento de textos (axuste de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xina, inserci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ou notas, imaxes etc.). 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B1.6.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ficheiros.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sobre feitos ou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previamente delimitados, facer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sucesos naturais, integrar datos de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directa e indirecta a partir da consulta de fontes directa e indirectas e comunicando os resultados en diferentes soportes.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CNB1.1.1. Busca, selecciona e organiza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concreta e relevante,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zaa,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elabora informes e comunica os resultados en diferentes soportes.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 xml:space="preserve">CNB1.1.2. Expresa oralmente e por escrito, de forma clara e ordenada contidos relacionados coa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 manifestando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e/ou escritos.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CNB1.1.3. Emprega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o tratamento de textos (axuste de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xina, inserci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ou notas etc.).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35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 xml:space="preserve">CNB1.1.4. Manexa estratexias axeitadas para acceder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CNB1.1.5. Efect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squedas guiadas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rede.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CNB1.1.6.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aplica estratexias de acceso e traballo na rede.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 xml:space="preserve">d 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B1.7.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experimental a 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realidade.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 xml:space="preserve">B1.8. Traballo individual e cooperativo. 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B1.9. A igualdade entre homes e mulleres.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B1.10. A conduta responsable.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B1.11.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demais.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de conflitos.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B2.12.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ns: criterios e consecuencias. 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B1.13. Desenvolvemento de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traballo, esforzo e responsabilidade.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traballo. Recursos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de traballo individual. 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B1.14.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enfermidades e accidentes, na aula e no centro.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B1.15. Emprego de diversos materiais, tendo en conta as normas de seguridade.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B1.16.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protocolos de uso das TIC na aula.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B1.17.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necesidade de controlar o tempo destinado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do seu poder de adicci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B1.2. Establecer conxecturas tanto respecto de sucesos que ocorren dunha forma natural como sobre os que ocorren cando se provocan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dun experimento ou dunha experiencia.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CNB1.2.1. Manifesta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tarefas e ten iniciativa na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B1.3. Traballar de forma cooperativa, apreciando o coidado pola seguridade propia e 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eiros/as, coidando as ferramentas e facendo uso adecuado dos materiais.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CNB1.3.1. Utiliza estratexias para realizar traballos de forma individual e en equipo, amosando habilidades para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de conflitos.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CNB1.3.2.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emprega as normas de uso e de seguridade dos instrumentos, dos materiais de traballo e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CNB1.3.3. Utiliza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recursos ao seu alcance proporcionados polas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comunicarse e colaborar.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B1.18.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proxectos, experiencias sinxelas e pequenas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formulando problemas, enunciando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seleccionando o material necesario, montando, realizando e extraendo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presentando informes en diferentes soportes.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B1.4. Realizar proxectos, experiencias sinxelas e pequenas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presentar informes coas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 diferentes soportes.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CNB1.4.1. Realiza proxectos, experiencias sinxelas e pequenas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formulando problemas, enunciando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seleccionando o material necesario, realizando, extraendo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comunicando os resultados.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 xml:space="preserve">CCL </w:t>
            </w:r>
          </w:p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CNB1.4.2. Presenta un informe, de forma oral ou escrita, empregando soportes variados, recollendo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diferentes fontes (directas, libros, internet) cando traballa de forma individual ou en equipo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proxectos, experiencias sinxelas e pequenas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 xml:space="preserve">CSC 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 xml:space="preserve">CD 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O SER HUMANO 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</w:t>
            </w:r>
          </w:p>
        </w:tc>
      </w:tr>
      <w:tr>
        <w:tblPrEx>
          <w:shd w:val="clear" w:color="auto" w:fill="ced7e7"/>
        </w:tblPrEx>
        <w:trPr>
          <w:trHeight w:val="139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B2.1.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vitais no ser humano: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vital para os seres humanos.</w:t>
            </w:r>
          </w:p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aparellos relacionados con ela (aparellos respiratorios, dixestivo, circulatorio e excretor). </w:t>
            </w:r>
          </w:p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do sistema reprodutor humano e as diferenzas entre sexos. Funcionamento do sistema reprodutor. </w:t>
            </w:r>
          </w:p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B2.4.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sentidos e do sistema nervioso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medio e co resto dos seres humanos.</w:t>
            </w:r>
          </w:p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 xml:space="preserve">B2.5. O aparello locomotor.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 xml:space="preserve">B2.1. Identificar e localizar os principais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implicados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vitais do corpo humano, establecendo algunhas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fundamentais entre eles.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 xml:space="preserve">CNB2.1.1. Identifica e localiza os principais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implicados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vitais do corpo humano.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76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CNB2.1.2. Identifica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aparellos respiratorio, dixestivo, locomotor, circulatorio e excretor e explica as principais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 xml:space="preserve">d </w:t>
            </w:r>
          </w:p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k</w:t>
            </w:r>
          </w:p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B2.6.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enfermidade. Principais enfermidades que afectan aos aparellos e sistemas do organismo humano.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B2.7.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bitos saudables para previr enfermidades. 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B2.8. Trastornos alimenticios.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B2.9. Efectos nocivos do consumo de alcohol e drogas.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B2.10. Tipos de dietas.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 saudables.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alimentos.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lise de etiquetas de produtos.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B2.3. Relacionar determinadas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 vida co adecuado funcionamento do corpo, adoptando estilos de vida saudables,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do seu modo de vida.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CNB2.3.1. Investiga sobre enfermidades relacionadas cunha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inadecuada e presenta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diversos soportes.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CNB2.3.2.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principios das dietas equilibradas, e elabora men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s variados identificando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saudables.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 xml:space="preserve">CCL 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 xml:space="preserve">CSC </w:t>
            </w:r>
          </w:p>
        </w:tc>
      </w:tr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CNB2.3.3.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efectos nocivos do consumo de alcohol e drogas.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OS SERES VIVOS</w:t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B3.1. Seres vivos e seres inertes. Diferenciaci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B3.2.Organizaci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interna dos seres vivos e estrutura dos seres vivos: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lulas, tecidos: tipos;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rganos; aparellos e sistemas: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estrutura dos seres vivos: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lulas, tecidos, tipos,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rganos, aparellos e sistemas. Identificar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CNB3.1.1. Identifica e describe a estrutura dos seres vivos: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lulas, tecidos,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rganos, aparellos e sistemas, nomeando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cada un deles.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95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 xml:space="preserve">l 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B3.3. Os seres vivos: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tipos. 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B3.4. Os animais vertebrados e invertebrados,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B3.5. As plantas: a estrutura e fisiolox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A fotos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ntese.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diferentes niveis de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seres vivos, atendendo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tipos.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CNB3.2.1. Clasifica aos seres vivos e nomea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atendendo ao seu reino: Reino animal. Reino das plantas. Reino dos fungos e outros reinos empregando criterios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CMCT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CNB3.2.2. Utiliza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na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de animais vertebrados, invertebrados e plantas.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 xml:space="preserve"> a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 xml:space="preserve"> e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 xml:space="preserve"> h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 xml:space="preserve"> i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 xml:space="preserve"> l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 xml:space="preserve">o 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B3.6.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entre os seres vivos. Cadeas alimentarias. 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B3.7.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entes dun ecosistema. 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B3.8.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estudo dun ecosistema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ximo, recoller datos, facer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e recollendo os resultados en diferentes soportes.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B3.9.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humanas que modifican o medio natural. Extinci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especies. 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B3.10. Interese pola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polo estudo rigoroso de todos os seres vivos. 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B3.11. Emprego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xicos para o estudo dos seres vivos.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B3.3. Investigar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ecosistemas do seu contorno mediante a recollida de datos, facendo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empregando diversas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presentando os resultados en diferentes soportes, mostrando interese pola rigorosidade 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bitos de respecto e coidado cara aos seres vivos.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CNB3.3.1.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explica, con rigorosidade,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dun ecosistema.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CNB3.3.2. Investiga con criterio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fico, ecosistemas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ximos e presenta resultados en diferentes soportes.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CCL</w:t>
            </w:r>
            <w:r>
              <w:rPr>
                <w:rStyle w:val="Ningun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CNB3.3.3. Identifica algunhas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humanas que modifican o medio natural e as causas de extinci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especies e explica algunhas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o seu coidado.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CNB3.3.4. Usa a lupa e outros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CNB3.3.5. Observa e rexistra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 proceso asociado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vida dos seres vivos, utiliza os instrumentos e os medios audiovisuais 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xicos apropiados e comunica de xeito oral e escrito os resultados.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MATERIA 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B4.1.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materiais segundo propiedades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observables: dureza, solubilidade, estado de agregaci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condutividade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rmica.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comparar para clasificar materiais segundo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observables: dureza, solubilidade, estado de agregaci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condutividade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rmica.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CNB4.1.1.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clasifica materiais segundo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(dureza, solubilidade, estado de agregaci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condutividade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rmica).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B4.2. Diferentes procedementos para a medida da masa e do volume dun corpo.</w:t>
            </w: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B4.3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observables en termos de diferenzas de densidade. A flotaci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medio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quido.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ind w:left="227"/>
            </w:pPr>
          </w:p>
          <w:p>
            <w:pPr>
              <w:pStyle w:val="_ttp1"/>
              <w:ind w:left="227"/>
            </w:pPr>
          </w:p>
          <w:p>
            <w:pPr>
              <w:pStyle w:val="_ttp1"/>
              <w:ind w:left="227"/>
            </w:pPr>
          </w:p>
          <w:p>
            <w:pPr>
              <w:pStyle w:val="_ttp1"/>
              <w:ind w:left="227"/>
            </w:pP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B4.2. Realizar experiencias sinxelas e pequenas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determinar: a masa e o volume dun corpo e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flotaci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corpos.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CNB4.2.1. Utiliza diferentes procedementos para determinar a medida da masa e do volume dun corpo.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CNB4.2.2. Describe a diferenza entre masa e volume.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CNB4.2.3. Identifica e explica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flotaci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medio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quido.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B4.4.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materias primas: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orixe.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renovables e non renovables.</w:t>
            </w:r>
            <w:r>
              <w:rPr>
                <w:rStyle w:val="Ninguno"/>
                <w:rtl w:val="0"/>
              </w:rPr>
              <w:t> </w:t>
            </w:r>
          </w:p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B4.5.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renovables e non renovables. O desenvolvemento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tico, sostible e equitativo.</w:t>
            </w:r>
            <w:r>
              <w:rPr>
                <w:rStyle w:val="Ninguno"/>
                <w:rtl w:val="0"/>
              </w:rPr>
              <w:t> 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B4.3. Identificar e explicar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renovables e non renovables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influencia no desenvolvemento sostible.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CNB4.3.1. Identifica e explica as diferenzas entre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renovables e non renovables e argumenta sobre 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necesarias para o desenvolvemento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tico, sostible e equitativo.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B4.6.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experiencias sinxelas sobre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micas habituais na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stica: a combusti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oxidaci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fermentaci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B4.7.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produtos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micos habituais no fogar e dos posibles riscos para o organismo. </w:t>
            </w:r>
          </w:p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B4.8.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etiquetaxe dos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de perigo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B4.4. Realizar experiencias sinxelas, de forma cooperativa, sobre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micas habituais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; formular problemas, enunciar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seleccionar o material necesario, extraer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comunicar os resultados en diferentes soportes.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CNB4.4.1. Realiza experiencias sinxelas, en equipo, sobre reacci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micas habituais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; formular problemas, enunciar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seleccionar o material necesario, extraer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comunicar os resultados en diferentes soportes.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CD</w:t>
            </w:r>
            <w:r>
              <w:rPr>
                <w:rStyle w:val="Ningun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CNB4.4.2. Identifica produtos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micos habituais no fogar e os posibles riscos para o organismo.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</w:tc>
      </w:tr>
      <w:tr>
        <w:tblPrEx>
          <w:shd w:val="clear" w:color="auto" w:fill="ced7e7"/>
        </w:tblPrEx>
        <w:trPr>
          <w:trHeight w:val="175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CNB4.4.3. Identifica e explica os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de perigo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 na etiquetaxe.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CNB4.4.4. Respecta as normas de uso, de seguridade, de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mantemento dos instrumentos de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dos materiais de traballo, na aula e no centro.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OBXECTOS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B5.1. Uso das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 na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stica. Normas de seguridade.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B5.2. 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ctricas.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B5.3. A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electricidade. 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B5.4. Elementos dos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ctricos.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 xml:space="preserve">B5.5. Efectos da electricidade. 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 xml:space="preserve">B5.6. Condutores e illantes.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B5.1. Planificar e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r, de forma cooperativa, un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ctrico simple que responda a un problema dado, atendendo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normas de seguridade.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CNB5.1.1. Observa e identifica os elementos dun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 e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un.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CNB5.1.2. Observa, identifica e explica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efectos da electricidade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CNB5.1.3.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exemplos de materiais condutores e illantes, argumentado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B5.2. Investigar sobre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obxecto, aparello ou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 ao longo da historia, utilizando distintas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presentando os resultados en diferentes soportes.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CNB5.2.1.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 dos grandes descubrimentos e inventos da humanidade e explica os beneficios ou riscos para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sociedade.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CNB5.2.2. Valora e describe a influencia do desenvolvemento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nas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vida e no traballo.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CSC</w:t>
            </w:r>
            <w:r>
              <w:rPr>
                <w:rStyle w:val="Ningun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CNB5.2.3.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avances da ciencia no fogar e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na medicina, na cultura e no lecer, na arte, na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no cine e no deporte e nas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B5.7. A ciencia: presente e futuro da sociedade. Beneficios e riscos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produtos. Importantes descubrimentos e inventos.</w:t>
            </w:r>
          </w:p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Cuerpo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  <w:rPr>
      <w:lang w:val="pt-PT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