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MAT_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Matem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ticas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facil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tannos interpretar o mundo que nos rodea, reflicten a capacidade creativa, expresan con precisi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conceptos e argumentos, favorecen a competencia para aprender a aprender e conte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elementos de gran beleza, sen esquecer ademais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instrumental que 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base fundamental para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novos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noutras disciplinas, nomeadamente no proceso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e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e como forza condutora no desenvolvemento da cultura e das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especialmente ao desenvolvemento da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como clave pola Uni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Europea co nome de "Competencia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tica" e "Competencias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a". Esta consiste en formular, transformar e resolver problemas a partir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vida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doutras ciencias e das propias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ticas. Para lograr isto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analizar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identificar o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verdadeiramente relevante, establecer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facer a modelizaci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ser quen de representala e comunicala utilizando diferentes linguaxes e rexistros; formular outros problemas, outras preguntas e, mesmo, atopar outras respostas que aparezan tras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lise, o traballo,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partida.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utilizar conceptos, propiedades, procedementos e as linguaxes axeitadas para expresar as ideas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ticas, e resolver os problemas asociados coa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cuesti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Estas actividades esixen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procedementos empregados e as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propostas.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consiste en adquirir un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 de pensamento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que permita establecer hip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teses e contrastalas, elaborar estratexias de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axudar na toma de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axeitadas, tanto na vida persoal como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futura vida profesional.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de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organizado en cinco bloques; todos eles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a mesma importancia na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integral da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do 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culo XXI, e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debe transmitirse ao alumnado, garantindo que ao remate de cada ciclo ningu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vexa minguado por raz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de contidos ou doutra 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ndole.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este respecto,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sinalar que 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non debe verse como un conxunto de bloques independentes.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que se desenvolva de xeito global, pensando nas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internas da materia, tanto dentro do curso como nas distintas etapas. Esta globalidade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salientable no que afecta ao bloque un, "Procesos, 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todos e actitudes en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ticas", que evoluciona desde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en primeiro de ESO ata as demostraci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formais do segundo curso do bacharelato. Tr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tase dun bloque transversal a toda a materia.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dentro dos outros bloques ser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principal responsable da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clave e garante da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temas interdisciplinares e transversais. Nel establ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cense dous dos eixes fundamentais no proceso de ensino e aprendizaxe das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ticas: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e os proxectos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habilidade de formular, interpretar e resolver problemas, e de modelizar a realidade 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en xogo distintas formas de pensamento: o pensamento converxente, indispensable para estruturar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forma 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xica; o pensamento diverxente, que permite incorporar novas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ou asociaci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non convencionais ao problema investigado; os pensamentos abstracto, algor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tmico e computacional, vinculados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capacidade de abordar un problema automatizando o proceso e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transferibles ou xeneralizables. Neste proceso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involucradas todas as competencias: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ao ler de forma comprensiva os enunciados e comunicar os resultados obtidos; a competencia de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emprendedor, ao establecer un plan de traballo en revisi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modificaci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continua, na medida en que se vai resolvendo o problema; a competencia dixital, ao tratar adecuadamente 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e, de ser o caso, servir de apoio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problema, comprobaci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resultados; a competencia social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vica, ao implicar unha actitude aberta ante diferentes enfoques e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ns; a competencia aprender a aprender, tomando conciencia do proceso desenvolvido, das respostas logradas e das que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quedan por resolver; e a competencia de conciencia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culturais, na medida en que o proxecto incorpore elementos culturais ou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 con base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Seguindo as recomendaci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Orde ECD/65/2015, para potenciar a motivaci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da aprendizaxe destas competencias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desexable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activa e contextualizada, baseada nunha aprendizaxe cooperativa, onde cada persoa poida desenvolver distintos papeis, achegando ou incorporando ideas, asumindo responsabilidades e aceptando erros;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baseada en actividades ou proxectos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que 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contexto os contidos aprendidos, o que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fortalecer a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persoal e o traballo en equipo, entre outras habilidades.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desenvolvemento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pret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que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as competencias e os valores estean integrados. Os novos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que se deben adquirir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que apoiarse nos xa conseguidos: os contextos deben ser elixidos para que o alumnado se aproxime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forma intuitiva mediante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 a este, e vaia adquirindo cada vez maior complexidade, ampliando progresivamente a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 problemas relacionados con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naturais e sociais e a outros contextos menos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ximos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realidade inmediata.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Durante os primeiros cursos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que o alumnado alcance soltura suficiente no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lculo, sempre apoiado na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sentido num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rico, que abrangue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 mental, estimaci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dominio reflexivo das propiedades e operaci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 Posteriormente, ao longo das etapas educativas, o alumnado debe progresar na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habilidades de pensamento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tico; debe pasar de conseguir dominar os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lculos e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ferramentas a centrarse, xa no bacharelato, en desenvolver os procedementos e a capacidade de analizar e investigar, interpretar e comunicar de xeito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diversos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e problemas en distintos contextos,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de proporcionar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cticas a estes. Os procedementos, os razoamentos, a argumentaci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das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dos problemas han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de maneira especial a lograr a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competencias clave.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ESO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Procesos,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 actitudes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verbal do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Expresar verbalmente e de forma razoada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MAB1.1.1. Expresa verbalmente e de forma razoada o proceso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problema,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rigor adecuados.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Estratexias e procedementos postos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ctica: uso da linguaxe apropiada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etc.),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problema,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subproblemas, reconto exhaustivo, comezo por casos particulares sinxelos, procura de regularidades e leis, etc.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resultados: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unidades aos resultados, comprobaci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procura doutras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Utilizar procesos de razoamento e estratexias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realizando os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necesarios e comprobando 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MAB1.2.1. Analiza e comprende o enunciado dos problemas (datos,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os datos, e contexto do problema).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MAB1.2.2. Valora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enunciado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naa co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de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problema.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MAB1.2.3. Realiza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 conxecturas sobre os resultados dos problemas para resolver,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utilidade e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MAB1.2.4. Utiliza estratexias heur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procesos de razoamento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reflexionando sobre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B1.2. Estratexias e procedementos postos en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ctica: uso da linguaxe apropiada (gr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etc.),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problema,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subproblemas, reconto exhaustivo, comezo por casos particulares sinxelos, procura de regularidades e leis, etc.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B1.4.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escolares,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de xeito individual e en equipo.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informes correspondentes.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B1.3. Describir e analizar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cambio, para encontrar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regularidades e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utilidade para facer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MAB1.3.1. Identifica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regularidades e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cambio,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8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MAB1.3.2. Utiliza as leis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achadas para realizar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os resultados esperables, valorando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 e idoneidade.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76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B1.3. Reflexi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resultados: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utilizadas,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unidades aos resultados, comprobaci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contexto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procura doutras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B1.4. Afondar en problemas resoltos formulando pequenas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nos datos, outras preguntas, outros contextos, etc.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MAB1.4.1. Afonda nos problemas logo de resolvelos, revisando o proceso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pasos e as ideas as importantes, analizando a coherencia da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procurando outras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MAB1.4.2. Form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lase novos problemas a partir dun resolto, variando os datos, propondo novas preguntas, resolvendo outros problemas parecidos, formulando casos particulares ou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xerais de interese, e establecendo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o problema e a realidade.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B1.4.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escolares, en contextos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de xeito individual e en equipo.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informes correspondentes.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B1.5. Elaborar e presentar informes sobre o proceso, resultados 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 nos procesos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MAB1.5.1. Exp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argumenta o proceso seguido, ademais das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obtidas, utilizando distintas linguaxes (alx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 e en contextos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de xeito individual e en equipo.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B1.6. Desenvolver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contextos da realidade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(num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funcionais,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ou probabil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sticos) a partir da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realidade.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MAB1.6.1. Identifica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da realidade susceptibles de conter problemas de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MAB1.6.2. Establece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un problema do mundo real e o mundo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tico, identificando o problema ou os problemas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que subxacen nel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necesarios.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MAB1.6.3. Usa, elabora ou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modelos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sinxelos que permitan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problema ou duns problemas dentro do campo das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MAB1.6.4. Interpreta 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do problema no contexto da realidade.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MAB1.6.5. Realiza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en contexto real, para valorar a adecuaci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modelos,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melloras que aumenten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eficacia.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 e en contextos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de xeito individual e en equipo.</w:t>
            </w:r>
            <w:r>
              <w:rPr>
                <w:rStyle w:val="Ninguno"/>
              </w:rPr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B1.7. Valorar a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como un recurso para resolver problemas da realidade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avaliando a eficacia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modelos utilizados ou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MAB1.7.1. Reflexiona sobre o proceso 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el e os seus resultados, valorando outras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n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ñ</w:t>
            </w:r>
          </w:p>
          <w:p>
            <w:pPr>
              <w:pStyle w:val="ttp1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o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B1.5.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dos procesos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contextos da realidade e en contextos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de xeito individual e en equipo.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B1.8. Desenvolver e cultivar as actitudes persoais inherentes ao quefacer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MAB1.8.1. Desenvolve actitudes axeitadas para o traballo en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(esforzo, perseveranza, flexibilidade e aceptaci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razoada).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MAB1.8.2. Form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lase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retos e problemas coa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o esmero e o interese adecuados ao nivel educativo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dificultade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MAB1.8.3. Distingue entre problemas e exercicios, e adopta a actitude axeitada para cada caso.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MAB1.8.4. Desenvolve actitudes de curiosidade e indagaci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xunto con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de formular e formularse preguntas e procurar respostas axeitadas, tanto no estudo dos conceptos como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MAB1.8.5. Desenvolve habilidades sociais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traballo en equipo.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 xml:space="preserve"> b</w:t>
            </w:r>
          </w:p>
          <w:p>
            <w:pPr>
              <w:pStyle w:val="ttp1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B1.6.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B1.9. Superar bloqueos e inseguridades ante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MAB1.9.1. Toma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nos procesos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de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matematizaci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de modelizaci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valorando as consecuencias destas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conveniencia pola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sinxeleza e utilidade.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B1.6. Confianza nas propias capacidades para desenvolver actitudes axeitadas e afrontar as dificultades propias do traballo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B1.10. Reflexionar sobre as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tomadas, e aprender diso para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similares futuras.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MAB1.10.1. Reflexiona sobre os problemas resoltos e os procesos desenvolvidos, valorando a potencia e a sinxeleza das ideas clave, e apr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ndeo para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futuras similares.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B1.7.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Recollida ordenada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datos.</w:t>
            </w: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 e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  <w:p>
            <w:pPr>
              <w:pStyle w:val="ttp2"/>
              <w:widowControl w:val="0"/>
              <w:tabs>
                <w:tab w:val="left" w:pos="170"/>
              </w:tabs>
            </w:pPr>
          </w:p>
          <w:p>
            <w:pPr>
              <w:pStyle w:val="ttp2"/>
              <w:widowControl w:val="0"/>
              <w:tabs>
                <w:tab w:val="left" w:pos="170"/>
              </w:tabs>
            </w:pP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os resultados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obtidos.</w:t>
            </w:r>
          </w:p>
          <w:p>
            <w:pPr>
              <w:pStyle w:val="ttp2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B1.11. Empregar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axeitadas, de forma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noma, realizando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facendo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recreando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mediante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analizando con sentido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diversas que axuden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ou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MAB1.11.1. Selecciona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axeitadas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cando a dificultade destes impida ou non aconselle facelos manualmente.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MAB1.11.2. Utiliza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facer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 complexas e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cualitativa e cuantitativa sobre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MAB1.11.3.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para explicar o proceso seguido na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mediante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 xml:space="preserve">MAB1.11.4. Recrea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e obxectos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con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interactivas para amosar, analizar e comprender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MAB1.11.5. Utiliza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tratar datos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extraer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elaborar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g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B1.7.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no proceso de aprendizaxe para: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Recollida ordenada 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datos.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de datos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ricos, funcionais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Facilitaci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conceptos e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ou funcionais e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de tipo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rico,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ou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diversas.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 documentos sobre os procesos levados a cabo e os resultados e as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obtidos.</w:t>
            </w:r>
          </w:p>
          <w:p>
            <w:pPr>
              <w:pStyle w:val="ttp2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Consulta,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n,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apropiados,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das ideas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B1.12. Utilizar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maneira habitual no proceso de aprendizaxe, procurando, analizando e seleccionando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salientable en internet ou noutras fontes, elaborando documentos propios, facendo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argumentaci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destes, e compart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ndoos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apropiados para facilitar 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MAB1.12.1. Elabora documentos dixitais propios coa ferramenta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axeitada (de texto,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imaxe,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deo, son, etc.) como resultado do proceso de procura,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relevante,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rteos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difusi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MAB1.12.2. Utiliza os recursos creados para apoiar a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 dos contidos traballados na aula.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MAB1.12.3. Usa axeitadamente 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para estruturar e mellorar o seu proceso de aprendizaxe, recollendo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actividades, analizando puntos fortes e 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biles do seu proceso educativo e establecendo pautas de mellora.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MAB1.12.4. Emprega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para compartir ideas e tarefas.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lxebra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B2.1.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negativos: significado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contextos reais.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B2.2.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enteiros: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recta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calculadora.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B2.3.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ns.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equivalentes.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B2.4.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decimais: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B2.5.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decimais. Conversi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B2.6. Potencias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 e fraccionarios con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 natural: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B2.7. Cadrados perfectos. 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ces cadradas. Estimaci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ces aproximadas.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B2.8.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B2.9.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aproximado e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con calculadora ou outros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B2.1. Utilizar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naturais, enteiros, fraccionarios e decimais, e porcentaxes sinxelas,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propiedades, para recoller, transformar e intercambiar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resolver problemas relacionados coa vida diaria.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MAB2.1.1. Identifica os tipos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(naturais, enteiros, fraccionarios e decimais)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zaos para representar, ordenar e interpretar axeitadamente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cuantitativa.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MAB2.1.2. Calcula o valor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ricas de distintos tipos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mediante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 e as potencias de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 natural, aplicando correctamente 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8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MAB2.1.3. Emprega axeitadamente os tipos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para resolver problemas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contextualizados, representando e interpretando mediante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cando sexa necesario, os resultados obtidos.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B2.10. Divisibilidade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naturais: criterios de divisibilidade.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B2.11.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primos e compostos. Descomposici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en factores. Descomposici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factores primos.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B2.12.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ltiplos e divisores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a varios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meros.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ximo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divisor e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nimo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 de dous ou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B2.13. Potencias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 e fraccionarios con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 natural: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B2.14. Potencias de base 10.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para representar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grandes.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B2.8.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B2.9.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aproximado e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con calculadora ou outros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propiedades e novos significados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 contextos de paridade, divisibilidade 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elementais, mellorando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concepto e dos tipos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MAB2.2.1.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novos significados e propiedades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 contextos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sobre paridade, divisibilidade 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elementais.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MAB2.2.2. Aplica os criterios de divisibilidade por 2, 3, 5, 9 e 11 para descompo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er en factores primos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naturais, e empr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gaos en exercicios, actividades e problemas contextualizados.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MAB2.2.3. Identifica e calcula 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ximo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divisor e o 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nimo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ltiplo de dous ou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 mediante o algoritmo axeitado,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problemas contextualizados.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MAB2.2.4. Realiza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nos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potencias de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 natural e aplica as regras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potencias.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MAB2.2.5. Calcula e interpreta adecuadamente o oposto e o valor absoluto dun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enteiro, comprendendo o seu significado e contextualiz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 en problemas da vida real.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MAB2.2.6. Realiza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redondeo e truncamento de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decimais,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o grao de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 a casos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MAB2.2.7. Realiza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decimais e fraccionarios, acha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equivalentes e simplifica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para aplicalo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MAB2.2.8. Utiliza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e valora o seu uso para simplificar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 representar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moi grandes.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B2.8.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B2.9.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aproximado e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con calculadora ou outros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B2.3. Desenvolver, en casos sinxelos, a competencia no uso de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combinadas como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ntese da secuencia de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aritm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ticas, aplicando correctamente 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estratexias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MAB2.3.1. Realiza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combinadas entre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enteiros, decimais e fraccionarios, con eficacia, mediante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algoritmos de lapis e papel, calculadora ou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utilizando a notaci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 e respectando a xerarqu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B2.9.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estratexias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mental,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aproximado e para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con calculadora ou outros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B2.4. Elixir a forma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apropiada (mental, escrita ou con calculadora), usando diferentes estratexias que permitan simplificar as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enteiros,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decimais e porcentaxes, e estimando a coherencia e 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resultados obtidos.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MAB2.4.1. Desenvolve estratexias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mental para realizar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exactos ou aproximados, valorando a precisi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esixida na 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no problema.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MAB2.4.2. Realiza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con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naturais, enteiros, fraccionarios e decimais, decidindo a forma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 (mental, escrita ou con calculadora), coherente e precisa.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8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B2.15.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lculos con porcentaxes (mental, manual e con calculadora). Aumentos e diminuci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porcentuais.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B2.16. Raz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proporci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taxa. Taxa unitaria. Factores de conversi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Magnitudes directamente proporcionais. Constante de proporcionalidade.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B2.17.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nos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a proporcionalidade directa ou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porcentuais. Repartici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directamente proporcional.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B2.5. Utilizar diferentes estratexias (emprego de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da constante de proporcionalidade, reduci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unidade, etc.) para obter elementos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nun problema a partir doutros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vida real nas que existan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porcentuais e magnitudes directamente proporcionais.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MAB2.5.1. Identifica e discrimina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proporcionalidade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(como o factor de conversi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porcentaxes) e empr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gaas para resolver problemas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42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B2.18. 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brica.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B2.19. Traduci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linguaxe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, que representen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reais,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brica, e viceversa.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B2.20. Significados e propiedades dos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en contextos diferentes ao do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lculo: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meros triangulares, cadrados, pentagonais, etc.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B2.21. A 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para xeneralizar propiedades e simbolizar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e termos xerais baseada na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pautas e regularidades. Valor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 dunha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B2.6. Analizar procesos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cambiantes, identificando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leis xerais que os rexen, utilizando a 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para expresalos, comunicalos e realizar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 seu comportamento ao modificar as variables, e operar con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MAB2.6.1. Describe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enunciados que dependen de cantidades variables ou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 e secuencias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ou regularidades, mediante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bricas, e opera con elas.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MAB2.6.2. Identifica propiedades e leis xerais a partir do estudo de procesos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recorrentes ou cambiantes, expr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saas mediante a 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para facer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B2.22.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primeiro grao cunha inc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gnita (m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fico).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sen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B2.7. Utilizar a linguaxe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para simbolizar e resolver problemas mediante a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primeiro grao, aplicando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bricos ou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e contrastar os resultados obtidos.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MAB2.7.1. Comproba, dada unha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se un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mero </w:t>
            </w:r>
            <w:r>
              <w:rPr>
                <w:rStyle w:val="Ninguno"/>
                <w:rtl w:val="0"/>
              </w:rPr>
              <w:t xml:space="preserve">é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MAB2.7.2. Formula alxebricamente 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vida real mediante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primeiro grao, res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lvea e interpreta o resultado obtido.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B3.1. Elementos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plano.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propiedades de figuras no plano: paralelismo e perpendicularidade.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 xml:space="preserve">B3.2.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B3.3.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sinxelas: mediatriz e bisectriz. Propiedades.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B3.4. Figuras planas elementais: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ngulo, cadrado e figuras poligonais.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B3.5.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e cuadril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teros. Propiedades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B3.1.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describir figuras planas, os seus elementos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propiedades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para clasificalas, identificar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describir o contexto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e abordar problemas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MAB3.1.1.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describe as propiedades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regulares (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ngulos interiores,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centrais, diagonais, apotema,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etc.).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MAB3.1.2. Define os elementos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dos tri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ngulos, trazando estes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propiedade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a cada un deles, e clasif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caos atendendo tanto aos seus lados como aos seus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MAB3.1.3. Clasifica os cuadril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teros e os paralelogramos atendendo ao paralelismo entre os seus lados opostos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propiedades referentes 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ngulos, lados e diagonais.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MAB3.1.4. Identifica as propiedades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que caracterizan os puntos da circunferencia e o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B3.6. Medida 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lculo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de figuras planas.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B3.7.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lculo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metros de figuras planas.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lculo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por descomposici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figuras simples.</w:t>
            </w:r>
          </w:p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B3.8. Circunferencia,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rculo, arcos e sectores circulares.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B3.2. Utilizar estratexias,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simples da xeometr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plana para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de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metros,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reas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de figuras planas, utilizando a linguaxe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axeitada, e expresar o procedemento seguido na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MAB3.2.1. Resolve problemas relacionados con distancias,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metros, superficies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ngulos de figuras planas, en contextos da vida real, utilizando as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e 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apropiadas.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 xml:space="preserve">MAB3.2.2. Calcula a lonxitude da circunferencia, 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do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rculo, a lonxitude dun arco e 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dun sector circular,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caas para resolver problemas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B3.9. Poliedros e corpos de revoluci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elementos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e volumes.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B3.3. Analizar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(cubos, ortoedros, prismas,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mides, cilindros, conos e esferas) e identificar os seus elementos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(v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rtices, arestas, caras, desenvolvementos planos, 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ao cortar con planos, corpos obtidos mediante 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simetr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etc.).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MAB3.3.1. Analiza e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utilizando a linguaxe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 axeitada.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MAB3.3.2. Constr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secci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 dos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a partir de cortes con planos, mentalmente e utilizando os medios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axeitados.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MAB3.3.3. Identifica os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 a partir dos seus desenvolvementos planos e reciprocamente.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B3.10. Propiedades, regularidades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poliedros.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lonxitudes, superficies e volumes do mundo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sico.</w:t>
            </w:r>
          </w:p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B3.11. Uso de ferramentas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para estudar formas,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B3.4. Resolver problemas que leven consigo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lonxitudes, superficies e volumes do mundo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sico, utilizando propiedades, regularidades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poliedros.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MAB3.4.1. Resolve problemas da realidade mediante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lculo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e volumes de corpos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tricos, utilizando as linguaxes xeom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trica e alx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brica adecuadas.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B4.1. Coordenadas cartesianas: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puntos nun sistema de eixes coordenados.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manexar e interpretar o sistema de coordenadas cartesianas.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MAB4.1.1. Localiza puntos no plano a partir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coordenadas e nomea puntos do plano escribindo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coordenadas.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B4.2. Concepto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variable dependente e independente. Formas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(linguaxe habitual,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rmula).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B4.2. Manexar as formas de presentar 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(linguaxe habitual,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pasando dunhas formas a outras e elixindo a mellor delas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contexto).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MAB4.2.1. Pasa dunhas formas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outras e elixe 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B4.2. Concepto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variable dependente e independente. Formas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(linguaxe habitual,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boa,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rmula).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B4.3. Comprender o concepto de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MAB4.3.1.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se unha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representa ou non 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B4.3.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lculo,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pendente da recta.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recta a partir da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partir dunha recta.</w:t>
            </w:r>
          </w:p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B4.4.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calculadoras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software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para a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B4.4.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representar e analizar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lineais, e utilizalas para resolver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MAB4.4.1.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representa unha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 a partir da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dunha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de valores, e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pendente da recta correspondente.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MAB4.4.2.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recta a partir da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ou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 de valores.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MAB4.4.3. Escribe a ecuaci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correspondente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lineal existente entre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magnitudes e repres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MAB4.4.4. Estuda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reais sinxelas e,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en recursos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xicos, identifica o modelo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funcional (lineal ou 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n)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 para explicalas, e realiza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 seu comportamento.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e probabilidade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B5.1.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individuo. Mostra. Variables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B5.2. Variables cualitativas e cuantitativas.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B5.3. Frecuencias absolutas, relativas e acumuladas.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B5.4.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datos recollidos nunha experiencia.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B5.5. Diagramas de barras e de sectores.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de frecuencias.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B5.6. Medidas de tendencia central.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B5.1. Formular preguntas axeitadas para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interese dunha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recoller, organizar e presentar datos relevantes para respondelas, utilizando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apropiados e as ferramentas adecuadas, organizando os datos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 constru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calculando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relevantes e obtendo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razoables a partir dos resultados obtidos.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MAB5.1.1. Comprende o significado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mostra e individuo desde o punto de vista da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stica, entende que as mostras se empregan para obter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cando son representativas, e apl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caos a casos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MAB5.1.2.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exemplos de distintos tipos de variables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tanto cualitativas como cuantitativas.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MAB5.1.3. Organiza datos obtidos dunha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variables cualitativas ou cuantitativas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boas, calcula e interpreta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frecuencias absolutas, relativas e acumuladas, e repres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ntaos graficamente.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MAB5.1.4. Calcula a media aritm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tica, a mediana (intervalo mediano) e a moda (intervalo modal), e empr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gaos para interpretar un conxunto de datos elixindo 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axeitado, e para resolver problemas.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MAB5.1.5. Interpreta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sinxelos recollidos en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outros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B5.4.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de datos recollidos nunha experiencia.</w:t>
            </w:r>
          </w:p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B5.5. Diagramas de barras e de sectores.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gonos de frecuencias.</w:t>
            </w:r>
          </w:p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B5.6. Medidas de tendencia central.</w:t>
            </w:r>
          </w:p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B5.7.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calculadoras e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para o tratamento de datos,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informes.</w:t>
            </w:r>
            <w:r>
              <w:rPr>
                <w:rStyle w:val="Ninguno"/>
              </w:rPr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B5.2. Utilizar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para organizar datos, xerar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calcular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metros relevantes e comunicar os resultados obtidos que respondan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preguntas formuladas previamente sobre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estudada.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MAB5.2.1. Emprega a calculadora e ferramentas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 para organizar datos, xerar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 calcular as medidas de tendencia central.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MAB5.2.2. Utiliza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comunicar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resumida e relevante sobre unha variable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 analizada.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B5.8.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deterministas e aleatorios.</w:t>
            </w:r>
          </w:p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B5.9.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conxecturas sobre o comportamento de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aleatorios sinxelos e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experiencias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comprobaci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B5.10. Frecuencia relativa dun suceso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probabilidade mediante a simulaci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</w:pPr>
            <w:r>
              <w:rPr>
                <w:rStyle w:val="Ninguno"/>
                <w:rtl w:val="0"/>
              </w:rPr>
              <w:t>B5.3. Diferenciar 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deterministas dos aleatorios, valorando a posibilidade que ofrecen as matem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para analizar e facer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razoables acerca do comportamento dos aleatorios a partir das regularidades obtidas ao repetir un 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mero significativo de veces a experiencia aleatoria, ou 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probabilidade.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MAB5.3.1. Identifica os experimentos aleatorios e dist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ngueos dos deterministas.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MAB5.3.2. Calcula a frecuencia relativa dun suceso mediante a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MAB5.3.3. Realiza predici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un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 aleatorio a partir do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exacto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probabilidade ou a aproximaci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desta mediante a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49"/>
              </w:numPr>
            </w:pPr>
            <w:r>
              <w:rPr>
                <w:rStyle w:val="Ninguno"/>
                <w:rtl w:val="0"/>
              </w:rPr>
              <w:t>h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B5.11. Sucesos elementais equiprobables e non equiprobables.</w:t>
            </w:r>
          </w:p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B5.12. Espazo mostral en experimentos sinxelos.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boas e diagramas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rbore sinxelos.</w:t>
            </w:r>
          </w:p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B5.13.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probabilidades mediante a regra de Laplace en experimentos sinxelos.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B5.4. Inducir a noci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probabilidade a partir do concepto de frecuencia relativa e como medida de incerteza asociada aos fen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menos aleatorios, sexa ou non posible a experimentaci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MAB5.4.1. Describe experimentos aleatorios sinxelos e enumera todos os resultados posibles, apoi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ndose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boas, recontos ou diagramas en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rbore sinxelos.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MAB5.4.2. Distingue entre sucesos elementais equiprobables e non equiprobables.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MAB5.4.3. Calcula a probabilidade de sucesos asociados a experimentos sinxelos mediante a regra de Laplace, e expr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saa en forma de 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como porcentaxe.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left" w:pos="170"/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046" w:hanging="104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40"/>
        </w:tabs>
        <w:ind w:left="326" w:hanging="32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340"/>
        </w:tabs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340"/>
        </w:tabs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340"/>
        </w:tabs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