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CCIE_1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Cultura Cient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fica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Tanto a ciencia como 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son alicerces do benestar das 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e ambas son necesarias para que un pa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 poida enfrontarse a novos retos e a atopar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para eles.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desenvolvemento social,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 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dun pa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s,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nun mundo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competitivo e globalizado,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o benestar da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na sociedade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ecemento, dependen directamente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intelectual e, entre outros factores,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cultura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Que a ciencia forma parte do acervo cultural da humanidade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innegable; de feito, calquera cultura pasada apoiou os seus avances e logros nos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ficos que se 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an adquirindo e que se deb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an ao esforzo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creatividade humana. A materia denominada Cultura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debe, daquela,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desta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competencia en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cultural.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Individualmente considerada, a ciencia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unha das grandes 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ricas da humanidade; o seu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forma o individuo, proporci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nalle capacidade de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e de procura da verdade. Na vida diaria estamos en continuo contacto con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que nos afectan directamente,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que 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do 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culo XXI debe ser capaz de entender e de valorar criticamente.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Repetidas veces, os medios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informan sobre cuesti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ficas 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xicas de actualidade. A materia de Cultura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a que o alumnado aval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e enunciados relacionados con estas cuesti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tome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fundamentadas en probas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diferenci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ndoas das crenzas e das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 En definitiva,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de que os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as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sexan competentes para tomar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baseadas no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nun marco democr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de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desenvolvendo deste xeito a competencia social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vica.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Un dos aspectos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sicos da competencia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a capacidade de utilizar probas e argumentar en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 cuesti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e tomar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baseadas en probas. A materia de Cultura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debe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a isto,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que enfronte o alumnado ao reto de utilizar probas e argumentar nun contexto real e mediante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entre iguais. O traballo cooperativo e colaborativo, a formulaci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tarefas en contextos reais e o traballo experimental deben, xa que logo, formar parte do desenvolvemento curricular na aula.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Partindo do enfoque competencial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culo, a materia de Cultura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servir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para o desenvolvemento das competencias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dixital,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tarefas grupais que supo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 compilar e organizar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expola de xeito oral e escrito, elaborar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defender 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propias en debates e outras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aula.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contribuir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ao desenvolvemento das competencias de aprender a aprender, e de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que promova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aula que fomenten a responsabilidade do alumnado no proceso de aprendizaxe, a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autoavaliaci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autocr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e a promoci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da iniciativa do alumnado para que sexa o protagonista do proceso.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Outra raz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interese da materia de Cultura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a importancia 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e da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fico,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til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 xml:space="preserve">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da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xeral en todas as disciplinas e actividades. Ademais, o fomento de vocaci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ficas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outra das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que esta materia debe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Por tanto, requ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rese que a sociedade adquira unha cultura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 que lle permita entender o mundo actual e ser quen de tomar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baseadas no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fico en distintos contextos;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dicir, conseguir a alfabetizaci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da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a. Por iso, esta materia vinc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lase tanto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etapa de ESO como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de bacharelato.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cuarto curso de ESO, a materia de Cultura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establece a base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sobre temas xerais como o universo, os avances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de, a calidade de vida e a contribuci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materiais aos avances da humanidade.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Para primeiro de bacharelato 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ixanse cuesti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algo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complexas, como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Terra e a orixe da vida, a xen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tica, os avances biom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dicos e, para rematar, un bloque dedicado a todo o relacionado coas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Tanto en cuarto de ESO como en primeiro de bacharelato, no bloque 1 establ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cense os procedementos de traballo para abordar os contidos dos outros bloques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ecemento. Para lograr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competencias, deben formar parte do desenvolvemento curricular a obtenci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selecci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fico; a 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importancia da ciencia e 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na vida diaria;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nos soportes escrito, oral e virtual;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e o debate entre iguais sobre os temas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xicos; o traballo cooperativo e colaborativo.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tase, pois, ademais de adquirir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de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capacidade de avaliar de xeito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e comunicar eficazmente cuesti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xico. Por tanto, as estratexias fundamentais dos procedementos de traballo deben impregnar o resto de bloques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ecemento, formando parte indivisible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hora de abordar cuesti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relacionadas coa cultura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Cultura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fica. 1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Procedementos de traballo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ciencia e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O artigo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 Fontes de divulgaci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 utilizando distintos medios.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Obter, seleccionar e valorar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relacionadas con temas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ficos da actualidade.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CCIB1.1.1. Analiza un texto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e valora de forma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o seu contido.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CCIB1.1.2. Presenta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un tema tras realizar unha procura guiada de fontes de contido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fico, utilizando tanto os soportes tradicionais como internet.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B1.2. Ciencia,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sociedade: perspectiva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Valorar a importancia da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desenvolvemento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na actividade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CCIB1.2.1. Analiza o papel da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como motor da nosa sociedade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ao longo da historia.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B1.1.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ciencia e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O artigo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 Fontes de divulgaci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 utilizando distintos medios.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B1.3. Comunicar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ideas en distintos soportes a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blicos diversos, utilizando eficazmente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transmitir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argumentadas.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CCIB1.3.1. Comenta artigos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divulgativos realizando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das consecuencias sociais, e defende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A Terra e a vida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B2.1. Orixe e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Terra: deriva continental e 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de placas.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B2.1. Xustificar 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deriva continental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evidencias experimentais que a apoian.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CCIB2.1.1. Xustifica 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deriva continental a partir das probas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paleontol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xicas,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e paleoclim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B2.1. Orixe e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Terra: deriva continental e 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de placas.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B2.2. Explicar a 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de placas e os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a que 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lugar,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riscos como consecuencia destes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CCIB2.2.1. Utiliza a 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de placas para explicar a expansi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fondo oce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 e a actividade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smica e volc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 nos bordos das placas.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CCIB2.2.2. Nomea e explica medidas preditivas e preventivas para o vulcanismo e os terremotos.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B2.2. Vulcanismo e terremotos: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B2.3. Determinar as consecuencias do estudo da propagaci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ondas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smicas P e S, respecto das capas internas da Terra.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CCIB2.3.1. Relaciona a existencia de capas terrestres coa propagaci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ondas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smicas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B2.3. Orixe da vida na Terra.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B2.4.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ecer e describir os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ltimos avances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sobre a orixe da vida na Terra e enunciar as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que explican a orixe da vida na Terra, diferenci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ndoas das baseadas en crenzas.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CCIB2.4.1.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as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acerca da orixe da vida na Terra.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 xml:space="preserve">CCIB2.4.2. Describe as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ltimas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en torno ao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orixe e o desenvolvemento da vida na Terra.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B2.4. Do fixismo ao evolucionismo.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debate: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e pseudocient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sobre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ser humano.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B2.5. Establecer as probas que apoian 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natural de Darwin e utilizala para explicar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seres vivos na Terra, enfront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 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non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CCIB2.5.1. Describe as probas biol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xicas, paleontol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e moleculares que apoian 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especies.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CCIB2.5.2. Enfronta as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de Darwin e Lamarck para explicar a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natural.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CCIB2.5.3. Enfronta o neodarwinismo coas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sobre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B2.4. Do fixismo ao evolucionismo.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debate: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e pseudocient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sobre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ser humano.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B2.6.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desde os primeiros hom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nidos ata o ser humano actual e establecer as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nos fixeron evolucionar.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CCIB2.6.1. Establece as etapas evolutivas dos hom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nidos ata chegar ao Homo Sapiens, salientando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fundamentais, como a capacidade cranial e altura.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CCIB2.6.2. Valora de forma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as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asociadas ao Universo,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Terra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orixe das especies, distinguindo entre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real,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ideolox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Avances en biomedicina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B3.1.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da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dica e farmac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utica.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B3.1. Analizar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na consideraci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no tratamento das doenzas.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CCIB3.1.1.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dos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de diagn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stico e tratamento das doenzas.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B3.1.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da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dica e farmac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utica.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 xml:space="preserve">B3.2. Distinguir entre 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 xml:space="preserve">medicina e o que non o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 xml:space="preserve">CCIB3.2.1. Establece a existencia de alternativas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medicina tradicional, valorando o seu fundamento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fico e os riscos que levan consigo.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 xml:space="preserve">B3.2.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ltimos avances en medicina.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B3.3. Valorar as vantaxes que suscita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transplante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consecuencias.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CCIB3.3.1.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os transplantes como alternativa no tratamento de certas doenzas, valorando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vantaxes e os seus inconvenientes.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B3.1.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da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dica e farmac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utica.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B3.4. Tomar conciencia da importancia da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dico-farmac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utica.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CCIB3.4.1. Describe o proceso que segue a industria farmac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utica para descubrir, desenvolver, ensaiar e comercializar os f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rmacos.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B3.3.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relacionada coa medicina. Uso responsable dos medicamentos. Patentes.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 xml:space="preserve">B3.5. Facer un uso responsable do sistema sanitario e dos medicamentos.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CCIB3.5.1. Xustifica a necesidade de facer un uso racional da sanidade e dos medicamentos.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B3.3.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relacionada coa medicina. Uso responsable dos medicamentos. Patentes.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B3.6. Diferenciar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procedente de fontes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das que proceden de pseudociencias ou que perseguen obxectivos simplemente comerciais.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CCIB3.6.1. Discrimina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recibida sobre tratamentos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dicos e medicamentos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fonte consultada.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A revoluci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B4.1. Revoluci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 Xenoma humano.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do ADN recombinante e enxe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B4.1.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feitos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salientables para o estudo da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CCIB4.1.1.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o desenvolvemento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dos estudos levados a cabo dentro do campo da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B4.1. Revoluci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 Xenoma humano.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do ADN recombinante e enxe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B4.2. Obter, seleccionar e valorar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o ADN, o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digo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tico, a enxe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dicas.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CCIB4.2.1. Sabe situar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calquera ser vivo, establecendo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rquica entre as estruturas, desde o nucle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tido ata os xenes responsables da herdanza.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B4.1. Revoluci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 Xenoma humano.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do ADN recombinante e enxe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B4.3.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proxectos que se desenvolven actualmente como consecuencia de descifrar o xenoma humano, tales como HapMap e Encode.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CCIB4.3.1.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a forma en que se codifica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no ADN, xustificando a necesidade de obter o xenoma completo dun individuo e descifrar o seu significado.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B4.1. Revoluci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 Xenoma humano.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do ADN recombinante e enxe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B4.4. Describir e avaliar 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enxe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na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rmacos, transx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nicos e terapias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CCIB4.4.1. Describe e analiza 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enxe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na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rmacos, transx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nicos e terapias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B4.2.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asistida: implicaci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e sociais.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B4.5. Valorar as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 da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asistida e a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embri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CCIB4.5.1. Establece as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 e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 da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asistida e a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embri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 xml:space="preserve"> 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B4.3.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lulas nai e clonaci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perspectivas de futuro.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B4.6. Analizar os posibles usos da clonaci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CCIB4.6.1. Describe e analiza as posibilidades que ofrece a clonaci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diferentes campos.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B4.3.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lulas nai e clonaci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perspectivas de futuro.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B4.7. Establecer o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de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tipos de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lulas nai,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potencialidade para xerar tecidos,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rganos e ata organismos completos.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CCIB4.7.1.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tipos de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lulas nai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procedencia e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capacidade xenerativa, e establece en cada caso 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principais.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B4.4.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sociedade. Bio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B4.8. Identificar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ns problemas sociais e dilemas morais debidos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tica: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transx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nicos,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asistida e clonaci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CCIB4.8.1. Valora de xeito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os avances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relacionados coa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os seus usos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consecuencias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dicas e sociais.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CCIB4.8.2. Explica as vantaxes e os inconvenientes dos alimentos transx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nicos, razoando a conveniencia ou non do seu uso.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B5.1. Orixe,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comparativa dos equipamentos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B5.1.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experimentou a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desde os primeiros prototipos ata os modelos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actuais, sendo consciente do avance logrado en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tales como tama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capacidade de procesamento, almacenamento, conectividade, portabilidade, etc.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CCIB5.1.1.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do computador en termos de tama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capacidade de proceso.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CCIB5.1.2. Explica como se almacena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diferentes formatos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sicos, tales como discos duros, discos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pticos e memorias, valorando as vantaxes e os inconvenientes de cada un.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B5.2. Incorporaci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dixital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</w:t>
            </w:r>
          </w:p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B5.3.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especificaci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equipamentos.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comparativa desde o punto de vista do/da usuario/a.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B5.2. Determinar o fundamento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dos avances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significativos da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actual.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CCIB5.2.1. Compara as prestaci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dous dispositivos dados do mesmo tipo, un baseado na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anal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e outro na dixital.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CCIB5.2.2. Explica como se establece a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 superficie terrestre coa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recibida dos sistemas de sat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lites GPS ou GLONASS.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CCIB5.2.3. Establece e describe a infraestrutura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que require o uso da telefon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bil.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CCIB5.2.4. Explica o fundamento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 da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LED e as vantaxes que sup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pantallas planas e iluminaci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CCIB5.2.5.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describe as especificaci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dos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ltimos dispositivos, valorando as posibilidades que lle poden ofrecer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persoas usuarias.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B5.4. Vantaxes e inconvenientes da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xica. Consumismo asociado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novas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B5.3. Tomar conciencia dos beneficios e dos problemas que pode orixinar o constante avance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CCIB5.3.1. Valora de xeito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a constante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e o consumismo que orixina na sociedade.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B5.5. Internet na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 Beneficios e problemas asociados ao uso de internet.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B5.4. Valorar de forma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 fundamentada os cambios que internet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 provocar na sociedade.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CCIB5.4.1. Xustifica o uso das redes sociais, sinalando as vantaxes que ofrecen e os riscos que supo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CCIB5.4.2. Determina os problemas aos que se enfronta internet e 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se barallan.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CCIB5.4.3. Utiliza con propiedade conceptos especificamente asociados ao uso de internet.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B5.5. Internet na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 Beneficios e problemas asociados ao uso de internet.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B5.5. Efectuar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ticas, mediante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debates, acerca de problemas relacionados cos delitos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o acceso a datos persoais e os problemas de socializaci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de excesiva dependencia que pode causar o seu uso.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CCIB5.5.1. Describe en que consisten os delitos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habituais.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CCIB5.5.2. Pon de manifesto a necesidade de protexer os datos mediante encriptaci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contrasinal,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B5.4. Vantaxes e inconvenientes da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xica. Consumismo asociado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novas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as.</w:t>
            </w:r>
          </w:p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B5.5. Internet na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 Beneficios e problemas asociados ao uso de internet.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 xml:space="preserve">B5.6. Demostrar que se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consciente da importancia das novas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na sociedade actual, mediante a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debates,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redacci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e/ou comentarios de texto.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CCIB5.6.1. Sinala as implicaci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 do desenvolvemento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 xml:space="preserve"> CSC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